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0" w:right="0" w:firstLine="360"/>
        <w:jc w:val="left"/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KENYA  HIGH  SCHOOL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 </w:t>
        <w:tab/>
        <w:tab/>
        <w:tab/>
      </w: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 POST </w:t>
      </w: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MOCK  EXAMINATIONS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Book Antiqua" w:cs="Book Antiqua" w:eastAsia="Book Antiqua" w:hAnsi="Book Antiqua"/>
          <w:b w:val="1"/>
          <w:sz w:val="32"/>
          <w:szCs w:val="32"/>
        </w:rPr>
      </w:pPr>
      <w:r w:rsidDel="00000000" w:rsidR="00000000" w:rsidRPr="00000000">
        <w:rPr>
          <w:rFonts w:ascii="Book Antiqua" w:cs="Book Antiqua" w:eastAsia="Book Antiqua" w:hAnsi="Book Antiqua"/>
          <w:b w:val="1"/>
          <w:sz w:val="32"/>
          <w:szCs w:val="32"/>
          <w:rtl w:val="0"/>
        </w:rPr>
        <w:t xml:space="preserve">FORM  4</w:t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Book Antiqua" w:cs="Book Antiqua" w:eastAsia="Book Antiqua" w:hAnsi="Book Antiqua"/>
          <w:b w:val="1"/>
          <w:sz w:val="28"/>
          <w:szCs w:val="28"/>
        </w:rPr>
      </w:pPr>
      <w:r w:rsidDel="00000000" w:rsidR="00000000" w:rsidRPr="00000000">
        <w:rPr>
          <w:rFonts w:ascii="Book Antiqua" w:cs="Book Antiqua" w:eastAsia="Book Antiqua" w:hAnsi="Book Antiqua"/>
          <w:b w:val="1"/>
          <w:sz w:val="28"/>
          <w:szCs w:val="28"/>
          <w:rtl w:val="0"/>
        </w:rPr>
        <w:t xml:space="preserve">2021</w:t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Book Antiqua" w:cs="Book Antiqua" w:eastAsia="Book Antiqua" w:hAnsi="Book Antiqua"/>
          <w:b w:val="1"/>
          <w:sz w:val="28"/>
          <w:szCs w:val="28"/>
        </w:rPr>
      </w:pPr>
      <w:r w:rsidDel="00000000" w:rsidR="00000000" w:rsidRPr="00000000">
        <w:rPr>
          <w:rFonts w:ascii="Book Antiqua" w:cs="Book Antiqua" w:eastAsia="Book Antiqua" w:hAnsi="Book Antiqua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6"/>
          <w:szCs w:val="26"/>
          <w:rtl w:val="0"/>
        </w:rPr>
        <w:t xml:space="preserve">Kenya Certificate of Secondary 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Times New Roman" w:cs="Times New Roman" w:eastAsia="Times New Roman" w:hAnsi="Times New Roman"/>
          <w:b w:val="1"/>
          <w:color w:val="ff0000"/>
          <w:sz w:val="32"/>
          <w:szCs w:val="32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233/3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CHEMISTRY</w:t>
      </w:r>
    </w:p>
    <w:p w:rsidR="00000000" w:rsidDel="00000000" w:rsidP="00000000" w:rsidRDefault="00000000" w:rsidRPr="00000000" w14:paraId="0000000A">
      <w:p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(PRACTICAL)</w:t>
      </w:r>
    </w:p>
    <w:p w:rsidR="00000000" w:rsidDel="00000000" w:rsidP="00000000" w:rsidRDefault="00000000" w:rsidRPr="00000000" w14:paraId="0000000B">
      <w:pPr>
        <w:pBdr>
          <w:bottom w:color="000000" w:space="1" w:sz="4" w:val="single"/>
        </w:pBd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PAPER 3</w:t>
      </w:r>
    </w:p>
    <w:p w:rsidR="00000000" w:rsidDel="00000000" w:rsidP="00000000" w:rsidRDefault="00000000" w:rsidRPr="00000000" w14:paraId="0000000C">
      <w:p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b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CONFIDENTIAL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Per Student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Solution A (100ml)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Solution B (100ml)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Phenolphthalein indicator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 conical flasks</w:t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Funnel</w:t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Burette</w:t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Pipette</w:t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Clamp</w:t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Stand</w:t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CBI (g) – NaHCO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3(s)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Clean spatula</w:t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Test- tubes (5)</w:t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Litmus papers ( 2 blue and 2 red)</w:t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Distilled water</w:t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Solid Q – 1g (NH4)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.FeSO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6H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and NaCl (ration 1:1)</w:t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 boiling tube</w:t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Access to;</w:t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2M ammonia solution</w:t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2M Sodium hydroxide solution</w:t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Source of heat</w:t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Silver nitrate solution (0.05M)</w:t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Dilute nitric acid (0.1M)</w:t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Dilute hydrochloric acid (0.1M)</w:t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Dilute Barium nitrate solution (0.1M)</w:t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Conc. Nitric acid in dropper bottles</w:t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White tile</w:t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Test tube holder</w:t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Solution A is prepared by dissolving 6.3g of 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2H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in 400cm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of water and topped upto one litre of solution.</w:t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Solution B is prepared by dissolving 4g of Sodium hydroxide in 400cm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of water and topped upto one litre of solution.</w:t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9" w:w="11907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Book Antiqu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">
    <w:lvl w:ilvl="0">
      <w:start w:val="4"/>
      <w:numFmt w:val="bullet"/>
      <w:lvlText w:val="-"/>
      <w:lvlJc w:val="left"/>
      <w:pPr>
        <w:ind w:left="1080" w:hanging="360"/>
      </w:pPr>
      <w:rPr>
        <w:rFonts w:ascii="Times New Roman" w:cs="Times New Roman" w:eastAsia="Times New Roman" w:hAnsi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3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ookAntiqua-regular.ttf"/><Relationship Id="rId2" Type="http://schemas.openxmlformats.org/officeDocument/2006/relationships/font" Target="fonts/BookAntiqua-bold.ttf"/><Relationship Id="rId3" Type="http://schemas.openxmlformats.org/officeDocument/2006/relationships/font" Target="fonts/BookAntiqua-italic.ttf"/><Relationship Id="rId4" Type="http://schemas.openxmlformats.org/officeDocument/2006/relationships/font" Target="fonts/BookAntiqu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